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D56E" w14:textId="17915DDB" w:rsidR="00456A81" w:rsidRDefault="007238A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PŘIHLÁŠKA – ChemQuest 202</w:t>
      </w:r>
      <w:r>
        <w:rPr>
          <w:rFonts w:ascii="Calibri" w:eastAsia="Calibri" w:hAnsi="Calibri" w:cs="Calibri"/>
          <w:b/>
          <w:sz w:val="28"/>
          <w:szCs w:val="28"/>
        </w:rPr>
        <w:t>5</w:t>
      </w:r>
    </w:p>
    <w:p w14:paraId="3ED99B27" w14:textId="77777777" w:rsidR="00456A81" w:rsidRDefault="007238A3">
      <w:pPr>
        <w:tabs>
          <w:tab w:val="left" w:pos="1276"/>
          <w:tab w:val="left" w:pos="2552"/>
          <w:tab w:val="left" w:pos="538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KATEGORIE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ZŠ   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SŠ </w:t>
      </w:r>
    </w:p>
    <w:p w14:paraId="3D21F7DE" w14:textId="77777777" w:rsidR="00456A81" w:rsidRDefault="00456A81">
      <w:pPr>
        <w:tabs>
          <w:tab w:val="left" w:pos="1276"/>
          <w:tab w:val="left" w:pos="2552"/>
          <w:tab w:val="left" w:pos="5387"/>
        </w:tabs>
        <w:rPr>
          <w:rFonts w:ascii="Calibri" w:eastAsia="Calibri" w:hAnsi="Calibri" w:cs="Calibri"/>
          <w:sz w:val="22"/>
          <w:szCs w:val="22"/>
        </w:rPr>
      </w:pPr>
    </w:p>
    <w:p w14:paraId="5B2ECB2D" w14:textId="77777777" w:rsidR="00456A81" w:rsidRDefault="007238A3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EXPERIMENT</w:t>
      </w:r>
    </w:p>
    <w:tbl>
      <w:tblPr>
        <w:tblStyle w:val="a7"/>
        <w:tblW w:w="910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119"/>
      </w:tblGrid>
      <w:tr w:rsidR="00456A81" w14:paraId="60184C50" w14:textId="77777777">
        <w:tc>
          <w:tcPr>
            <w:tcW w:w="1985" w:type="dxa"/>
          </w:tcPr>
          <w:p w14:paraId="2D355AC9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7119" w:type="dxa"/>
          </w:tcPr>
          <w:p w14:paraId="72E897E6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347959" w14:textId="77777777" w:rsidR="00456A81" w:rsidRDefault="007238A3">
      <w:pPr>
        <w:spacing w:before="120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ŠKOLA</w:t>
      </w:r>
    </w:p>
    <w:tbl>
      <w:tblPr>
        <w:tblStyle w:val="a8"/>
        <w:tblW w:w="9072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456A81" w14:paraId="0FFFE38E" w14:textId="77777777">
        <w:tc>
          <w:tcPr>
            <w:tcW w:w="1985" w:type="dxa"/>
          </w:tcPr>
          <w:p w14:paraId="3B200E78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Název + adresa školy</w:t>
            </w:r>
          </w:p>
        </w:tc>
        <w:tc>
          <w:tcPr>
            <w:tcW w:w="7087" w:type="dxa"/>
          </w:tcPr>
          <w:p w14:paraId="57D7E1D7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6C96805" w14:textId="77777777" w:rsidR="00456A81" w:rsidRDefault="007238A3">
      <w:pPr>
        <w:spacing w:before="120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UČITEL (PEDAGOGICKÝ DOZOR)</w:t>
      </w:r>
    </w:p>
    <w:tbl>
      <w:tblPr>
        <w:tblStyle w:val="a9"/>
        <w:tblW w:w="910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835"/>
        <w:gridCol w:w="1134"/>
        <w:gridCol w:w="3150"/>
      </w:tblGrid>
      <w:tr w:rsidR="00456A81" w14:paraId="4276FABE" w14:textId="77777777">
        <w:tc>
          <w:tcPr>
            <w:tcW w:w="1985" w:type="dxa"/>
          </w:tcPr>
          <w:p w14:paraId="57A872D0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7119" w:type="dxa"/>
            <w:gridSpan w:val="3"/>
          </w:tcPr>
          <w:p w14:paraId="74497E16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6F2A6650" w14:textId="77777777">
        <w:tc>
          <w:tcPr>
            <w:tcW w:w="1985" w:type="dxa"/>
          </w:tcPr>
          <w:p w14:paraId="697E2276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14:paraId="26FD0819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2C6AE4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</w:t>
            </w:r>
          </w:p>
        </w:tc>
        <w:tc>
          <w:tcPr>
            <w:tcW w:w="3150" w:type="dxa"/>
          </w:tcPr>
          <w:p w14:paraId="470D956E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57512D09" w14:textId="77777777">
        <w:tc>
          <w:tcPr>
            <w:tcW w:w="9104" w:type="dxa"/>
            <w:gridSpan w:val="4"/>
          </w:tcPr>
          <w:p w14:paraId="48A40499" w14:textId="77777777" w:rsidR="00456A81" w:rsidRDefault="00456A81">
            <w:pPr>
              <w:spacing w:before="20" w:after="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5DE919F3" w14:textId="77777777">
        <w:tc>
          <w:tcPr>
            <w:tcW w:w="1985" w:type="dxa"/>
          </w:tcPr>
          <w:p w14:paraId="603988BC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2835" w:type="dxa"/>
          </w:tcPr>
          <w:p w14:paraId="1A3F85AA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F79DC8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</w:t>
            </w:r>
          </w:p>
        </w:tc>
        <w:tc>
          <w:tcPr>
            <w:tcW w:w="3150" w:type="dxa"/>
          </w:tcPr>
          <w:p w14:paraId="636CBF05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2957823" w14:textId="77777777" w:rsidR="00456A81" w:rsidRDefault="00456A81">
      <w:pPr>
        <w:tabs>
          <w:tab w:val="left" w:pos="5670"/>
        </w:tabs>
        <w:spacing w:before="20" w:after="20"/>
        <w:jc w:val="both"/>
        <w:rPr>
          <w:rFonts w:ascii="Calibri" w:eastAsia="Calibri" w:hAnsi="Calibri" w:cs="Calibri"/>
          <w:sz w:val="22"/>
          <w:szCs w:val="22"/>
        </w:rPr>
      </w:pPr>
    </w:p>
    <w:p w14:paraId="4B2EB007" w14:textId="77777777" w:rsidR="00456A81" w:rsidRDefault="007238A3">
      <w:pPr>
        <w:spacing w:before="20" w:after="20"/>
        <w:jc w:val="both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sz w:val="16"/>
          <w:szCs w:val="16"/>
        </w:rPr>
        <w:t xml:space="preserve">Vyplněním a odesláním této přihlášky do Přihlašovadla ChemQuestu VŠCHT Praha </w:t>
      </w:r>
      <w:r>
        <w:rPr>
          <w:rFonts w:ascii="Calibri" w:eastAsia="Calibri" w:hAnsi="Calibri" w:cs="Calibri"/>
          <w:b/>
          <w:sz w:val="16"/>
          <w:szCs w:val="16"/>
        </w:rPr>
        <w:t>učitel/pedagogický dozor</w:t>
      </w:r>
      <w:r>
        <w:rPr>
          <w:rFonts w:ascii="Calibri" w:eastAsia="Calibri" w:hAnsi="Calibri" w:cs="Calibri"/>
          <w:sz w:val="16"/>
          <w:szCs w:val="16"/>
        </w:rPr>
        <w:t xml:space="preserve"> prohlašuje, že pod jeho dohledem tým provedl demonstraci experimentu. Po dobu soutěže přebírá nad soutěžícími pedagogický dozor.</w:t>
      </w:r>
      <w:r>
        <w:rPr>
          <w:rFonts w:ascii="Calibri" w:eastAsia="Calibri" w:hAnsi="Calibri" w:cs="Calibri"/>
          <w:b/>
          <w:sz w:val="16"/>
          <w:szCs w:val="16"/>
        </w:rPr>
        <w:br/>
      </w:r>
    </w:p>
    <w:p w14:paraId="5923EA29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Vyplněním a odesláním této přihlášky do Přihlašovadla ChemQuestu VŠCHT Prah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 berou účastníci soutěže a jejich zákonní zástupci na vědomí a souhlasí s následujícím:</w:t>
      </w:r>
    </w:p>
    <w:p w14:paraId="51DB1D21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Údaje poskytované v této přihlášce jsou osobní údaje ve smyslu zákona č. 101/2002 Sb., o ochraně osobních údajů a o změně některých zákonů, ve znění pozdějších předpisů (dále jen „zákon o ochraně osobních údajů“), a ve smyslu Nařízení Evropského parlamentu a Rady (EU) 2016/679 o ochraně fyzických osob v souvislosti se zpracováním osobních údajů a o volném pohybu těchto údajů a o zrušení směrnice 95/46/ES (obecné nařízení o ochraně osobních údajů) (dále </w:t>
      </w:r>
      <w:proofErr w:type="gramStart"/>
      <w:r>
        <w:rPr>
          <w:rFonts w:ascii="Calibri" w:eastAsia="Calibri" w:hAnsi="Calibri" w:cs="Calibri"/>
          <w:sz w:val="16"/>
          <w:szCs w:val="16"/>
        </w:rPr>
        <w:t>jen„</w:t>
      </w:r>
      <w:proofErr w:type="gramEnd"/>
      <w:r>
        <w:rPr>
          <w:rFonts w:ascii="Calibri" w:eastAsia="Calibri" w:hAnsi="Calibri" w:cs="Calibri"/>
          <w:sz w:val="16"/>
          <w:szCs w:val="16"/>
        </w:rPr>
        <w:t>Nařízení“).</w:t>
      </w:r>
    </w:p>
    <w:p w14:paraId="5DF96CF4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14:paraId="44D5B10B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Správce osobních údajů a účel zpracování</w:t>
      </w:r>
    </w:p>
    <w:p w14:paraId="54F5DC1F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Vysoká škola chemicko-technologická v Praze (dále jen „VŠCHT Praha“), je jakožto správce osobních údajů oprávněna v souladu se zákonem o ochraně osobních údajů a od 25. 5. 2018 v souladu s Nařízením zpracovávat Vaše osobní údaje uvedené v této přihlášce, a to pro účely Vaší účasti na ChemQuestu. Pověřence pro ochranu osobních údajů VŠCHT Praha je možno kontaktovat na e-mailové adrese </w:t>
      </w:r>
      <w:hyperlink r:id="rId8">
        <w:r w:rsidR="00456A8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gdpr.poverenec@vscht.cz</w:t>
        </w:r>
      </w:hyperlink>
      <w:r>
        <w:rPr>
          <w:rFonts w:ascii="Calibri" w:eastAsia="Calibri" w:hAnsi="Calibri" w:cs="Calibri"/>
          <w:sz w:val="16"/>
          <w:szCs w:val="16"/>
        </w:rPr>
        <w:t xml:space="preserve">. K poskytnutým osobním údajům má přístup VŠCHT Praha jako správce, vybraní zaměstnanci VŠCHT Praha a případně smluvně </w:t>
      </w:r>
      <w:r>
        <w:rPr>
          <w:rFonts w:ascii="Calibri" w:eastAsia="Calibri" w:hAnsi="Calibri" w:cs="Calibri"/>
          <w:sz w:val="16"/>
          <w:szCs w:val="16"/>
        </w:rPr>
        <w:t>zavázaný zpracovatel osobních údajů.</w:t>
      </w:r>
    </w:p>
    <w:p w14:paraId="770A6507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14:paraId="64D2C097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Právní důvody zpracování</w:t>
      </w:r>
    </w:p>
    <w:p w14:paraId="04335539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Zpracování osobních údajů je nezbytné pro vyřízení Vaší žádosti a případně zajištění Vaší účasti na ChemQuestu. V případě neposkytnutí/nevyplnění osobních údajů v této přihlášce, nebude možné zařadit Vás jako účastníka ChemQuestu.</w:t>
      </w:r>
    </w:p>
    <w:p w14:paraId="4059228E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14:paraId="368F79ED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Rozsah a doba zpracování</w:t>
      </w:r>
    </w:p>
    <w:p w14:paraId="394558DB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Osobní údaje jsou pro výše uvedené účely zpracovávány v rozsahu a po dobu nezbytnou k dosažení výše uvedených účelů.</w:t>
      </w:r>
    </w:p>
    <w:p w14:paraId="346EA8A5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14:paraId="144888AD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Práva související s ochranou osobních údajů</w:t>
      </w:r>
    </w:p>
    <w:p w14:paraId="3DB01A4F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Máte zejména právo:</w:t>
      </w:r>
    </w:p>
    <w:p w14:paraId="27EE0ACA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přístup k Vašim osobním údajům a o informaci, jaké osobní údaje a jakým způsobem jsou o Vás zpracovávány a komu jsou případně zpřístupněny,</w:t>
      </w:r>
    </w:p>
    <w:p w14:paraId="7220A2CC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vymazání osobních údajů, pokud se domníváte, že není důvod pro jejich zpracování,</w:t>
      </w:r>
    </w:p>
    <w:p w14:paraId="69126DE2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opravu či doplnění osobních údajů, pokud jsou nepřesné či neúplné,</w:t>
      </w:r>
    </w:p>
    <w:p w14:paraId="030E6806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vznést námitku proti zpracovávání Vašich osobních údajů,</w:t>
      </w:r>
    </w:p>
    <w:p w14:paraId="5AB95764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požádat, aby nebyly Vaše osobní údaje zpracovávány do doby, než bude vyřešena oprávněnost Vašich námitek či stížností proti zpracovávání osobních údajů,</w:t>
      </w:r>
    </w:p>
    <w:p w14:paraId="135A6D6D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umožnění přenesení Vašich osobních údajů jinému správci,</w:t>
      </w:r>
    </w:p>
    <w:p w14:paraId="0F24ADC4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podat stížnost u dozorového úřadu (uoou.cz),</w:t>
      </w:r>
    </w:p>
    <w:p w14:paraId="0D2AF067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a to na e-mailovou adresu </w:t>
      </w:r>
      <w:hyperlink r:id="rId9">
        <w:r w:rsidR="00456A8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gdpr.poverenec@vscht.cz</w:t>
        </w:r>
      </w:hyperlink>
      <w:r>
        <w:rPr>
          <w:rFonts w:ascii="Calibri" w:eastAsia="Calibri" w:hAnsi="Calibri" w:cs="Calibri"/>
          <w:sz w:val="16"/>
          <w:szCs w:val="16"/>
        </w:rPr>
        <w:t>. Podrobnosti k uplatnění Vašich práv a Vaše další práva jsou uvedeny v Nařízení.</w:t>
      </w:r>
    </w:p>
    <w:p w14:paraId="43555BBC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14:paraId="3CAD1D9A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585582C6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6386B9FF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429A6432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3802B5F8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5B0BC2D5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6D3E5A1D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0C140A97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7E706AA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4F7905B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Další informace související s ChemQuestem VŠCHT Praha</w:t>
      </w:r>
    </w:p>
    <w:p w14:paraId="5869E2C7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Soutěžící souhlasí a uděluje VŠCHT Praha bezúplatnou výhradní licenci zaslanou soutěžní práci užít, a to ke všem způsobům užití a v neomezeném časovém i teritoriálním rozsahu ve smyslu § 46 a násl. zákona č. 121/2000 Sb., autorský zákon, ve znění pozdějších předpisů, a toto právo udělit i třetí osobě nebo na třetí osobu převést. Současně soutěžící souhlasí, že okamžikem předání práce bez nároku na jakoukoliv odměnu převádí na VŠCHT Praha vlastnické právo k věci, prostřednictvím které je práce vyjádřena. </w:t>
      </w:r>
    </w:p>
    <w:p w14:paraId="712DBF89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14:paraId="0319E368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 rámci ChemQuestu mohou být pořizovány zvukové, obrazové či zvukově obrazové záznamy pro zpravodajské a dokumentační potřeby VŠCHT Praha.</w:t>
      </w:r>
    </w:p>
    <w:p w14:paraId="1335D158" w14:textId="77777777" w:rsidR="00456A81" w:rsidRDefault="007238A3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</w:t>
      </w:r>
    </w:p>
    <w:p w14:paraId="12ACD82B" w14:textId="77777777" w:rsidR="00456A81" w:rsidRDefault="007238A3">
      <w:pPr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PROHLÁŠENÍ ZÁKONNÉHO ZÁSTUPCE</w:t>
      </w:r>
    </w:p>
    <w:p w14:paraId="0BEDA0C6" w14:textId="77777777" w:rsidR="00456A81" w:rsidRDefault="007238A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Jako zákonný zástupce níže uvedeného dítěte po přečtení uveřejněných soutěžních podmínek tímto prohlašuji, že souhlasím, aby se zúčastnilo pod pedagogickým dozorem vyučujícího soutěže ChemQuest, a beru na vědomí všechna rizika, která mohou být spojena s účastí dítěte v soutěži. Dále uděluji souhlas s pořízením, použitím, zpracováním a uchováním osobních a citlivých údajů (jméno a příjmení, telefonní kontakt, datum narození, adresa bydliště) za účelem prezentace soutěžního příspěvku a zveřejnění výsledků sou</w:t>
      </w:r>
      <w:r>
        <w:rPr>
          <w:rFonts w:ascii="Calibri" w:eastAsia="Calibri" w:hAnsi="Calibri" w:cs="Calibri"/>
          <w:sz w:val="16"/>
          <w:szCs w:val="16"/>
        </w:rPr>
        <w:t xml:space="preserve">těže, a to na dobu neurčitou. Souhlasím se zachycením podoby dítěte fotografií a video dokumentací za účelem prezentace soutěžního příspěvku a zveřejnění výsledků soutěže. Videozáznam a fotografie budou zveřejněny na webových stránkách, v tištěných a online médiích. Současně prohlašuji, že uděluji souhlas s užitím autorského díla, na kterém se dítě podílelo, pro účely této soutěže za zveřejněných podmínek soutěže, a jeho neomezeným bezplatným veřejným šířením. </w:t>
      </w:r>
    </w:p>
    <w:p w14:paraId="363D736B" w14:textId="77777777" w:rsidR="00456A81" w:rsidRDefault="007238A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Odesláním vyplněné a sepsaného i natočeného díla uděluji VŠCHT Praha bezúplatnou výhradní licenci zaslanou soutěžní práci užít, a to ke všem způsobům užití a v neomezeném časovém i teritoriálním rozsahu ve smyslu § 46 a násl. zákona č. 121/2000 Sb., autorský zákon, ve znění pozdějších předpisů, a toto právo udělit i třetí osobě nebo na třetí osobu převést. Na VŠCHT Praha současně soutěžící okamžikem předání práce bez nároku na jakoukoliv odměnu převádí vlastnické právo k věci, prostřednictvím které je práce</w:t>
      </w:r>
      <w:r>
        <w:rPr>
          <w:rFonts w:ascii="Calibri" w:eastAsia="Calibri" w:hAnsi="Calibri" w:cs="Calibri"/>
          <w:sz w:val="16"/>
          <w:szCs w:val="16"/>
        </w:rPr>
        <w:t xml:space="preserve"> vyjádřena. </w:t>
      </w:r>
    </w:p>
    <w:p w14:paraId="6E819F25" w14:textId="77777777" w:rsidR="00456A81" w:rsidRDefault="007238A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Souhlasím, že osobní údaje dítěte (v rozsahu jména, příjmení, e-mailu, telefonu a adresy soutěžícího, názvu, adresy a kraje školy/instituce a jména i e-mailu na vyučujícího) poskytnuté VŠCHT Praha budou VŠCHT Praha zpracovány výhradně pro plnění propozic této soutěže, a to po dobu jejího trvání. Osobní údaje soutěžících jsou zpracovávány v souladu s Nařízením Evropského parlamentu a Rady (EU) 2016/679 ze dne 27. dubna 2016 o ochraně fyzických osob v souvislosti se zpracováním osobních údajů a o volném pohyb</w:t>
      </w:r>
      <w:r>
        <w:rPr>
          <w:rFonts w:ascii="Calibri" w:eastAsia="Calibri" w:hAnsi="Calibri" w:cs="Calibri"/>
          <w:sz w:val="16"/>
          <w:szCs w:val="16"/>
        </w:rPr>
        <w:t>u těchto údajů a o zrušení směrnice 95/46/ES (obecné nařízení o ochraně osobních údajů). Pravidla VŠCHT Praha jsou publikována na </w:t>
      </w:r>
      <w:hyperlink r:id="rId10">
        <w:r w:rsidR="00456A81">
          <w:rPr>
            <w:rFonts w:ascii="Calibri" w:eastAsia="Calibri" w:hAnsi="Calibri" w:cs="Calibri"/>
            <w:sz w:val="16"/>
            <w:szCs w:val="16"/>
          </w:rPr>
          <w:t>https://www.vscht.cz/uredni-deska/zpracovani-a-ochrana-osobnich-udaju</w:t>
        </w:r>
      </w:hyperlink>
      <w:r>
        <w:rPr>
          <w:rFonts w:ascii="Calibri" w:eastAsia="Calibri" w:hAnsi="Calibri" w:cs="Calibri"/>
          <w:sz w:val="16"/>
          <w:szCs w:val="16"/>
        </w:rPr>
        <w:t> a to za podmínek stanovených na Internetové stránce soutěže.</w:t>
      </w:r>
    </w:p>
    <w:p w14:paraId="7DC32F05" w14:textId="77777777" w:rsidR="00456A81" w:rsidRDefault="00456A81">
      <w:pPr>
        <w:jc w:val="both"/>
        <w:rPr>
          <w:rFonts w:ascii="Calibri" w:eastAsia="Calibri" w:hAnsi="Calibri" w:cs="Calibri"/>
          <w:sz w:val="19"/>
          <w:szCs w:val="19"/>
        </w:rPr>
      </w:pPr>
    </w:p>
    <w:p w14:paraId="43EFD844" w14:textId="77777777" w:rsidR="00456A81" w:rsidRDefault="007238A3">
      <w:pPr>
        <w:spacing w:before="120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SOUTĚŽÍCÍ</w:t>
      </w:r>
    </w:p>
    <w:tbl>
      <w:tblPr>
        <w:tblStyle w:val="aa"/>
        <w:tblW w:w="910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"/>
        <w:gridCol w:w="1930"/>
        <w:gridCol w:w="1843"/>
        <w:gridCol w:w="1843"/>
        <w:gridCol w:w="1701"/>
        <w:gridCol w:w="1449"/>
      </w:tblGrid>
      <w:tr w:rsidR="00456A81" w14:paraId="25A4EB58" w14:textId="77777777">
        <w:tc>
          <w:tcPr>
            <w:tcW w:w="338" w:type="dxa"/>
            <w:vMerge w:val="restart"/>
            <w:vAlign w:val="center"/>
          </w:tcPr>
          <w:p w14:paraId="63486F82" w14:textId="77777777" w:rsidR="00456A81" w:rsidRDefault="007238A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14:paraId="6CEAC104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</w:tcPr>
          <w:p w14:paraId="04FB9AC9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6DCCE3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</w:tcPr>
          <w:p w14:paraId="6659FF52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2A36DD6F" w14:textId="77777777">
        <w:tc>
          <w:tcPr>
            <w:tcW w:w="338" w:type="dxa"/>
            <w:vMerge/>
            <w:vAlign w:val="center"/>
          </w:tcPr>
          <w:p w14:paraId="42E560CA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74BF0CB5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</w:tcPr>
          <w:p w14:paraId="60576819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417A1A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Rok maturity</w:t>
            </w:r>
          </w:p>
        </w:tc>
        <w:tc>
          <w:tcPr>
            <w:tcW w:w="1449" w:type="dxa"/>
          </w:tcPr>
          <w:p w14:paraId="2EF5E3F4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3ACD7331" w14:textId="77777777">
        <w:tc>
          <w:tcPr>
            <w:tcW w:w="338" w:type="dxa"/>
            <w:vMerge/>
            <w:vAlign w:val="center"/>
          </w:tcPr>
          <w:p w14:paraId="15D9C458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14:paraId="5E4E0F5A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</w:tcPr>
          <w:p w14:paraId="73AFD00D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497D918A" w14:textId="77777777">
        <w:trPr>
          <w:trHeight w:val="353"/>
        </w:trPr>
        <w:tc>
          <w:tcPr>
            <w:tcW w:w="338" w:type="dxa"/>
            <w:vMerge/>
            <w:vAlign w:val="center"/>
          </w:tcPr>
          <w:p w14:paraId="76C8EB00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vAlign w:val="center"/>
          </w:tcPr>
          <w:p w14:paraId="14EC54CA" w14:textId="77777777" w:rsidR="00456A81" w:rsidRDefault="00456A81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327E74A4" w14:textId="77777777">
        <w:tc>
          <w:tcPr>
            <w:tcW w:w="338" w:type="dxa"/>
            <w:vMerge/>
            <w:vAlign w:val="center"/>
          </w:tcPr>
          <w:p w14:paraId="714531E6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</w:tcBorders>
          </w:tcPr>
          <w:p w14:paraId="06982B6F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zákonného zástupce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14:paraId="16C703F0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BEED405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bottom w:val="single" w:sz="18" w:space="0" w:color="000000"/>
            </w:tcBorders>
          </w:tcPr>
          <w:p w14:paraId="4448A8BF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78B0ACF5" w14:textId="77777777">
        <w:tc>
          <w:tcPr>
            <w:tcW w:w="338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4D7578" w14:textId="77777777" w:rsidR="00456A81" w:rsidRDefault="007238A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18" w:space="0" w:color="000000"/>
              <w:bottom w:val="single" w:sz="4" w:space="0" w:color="000000"/>
            </w:tcBorders>
          </w:tcPr>
          <w:p w14:paraId="0EA057C9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Jméno 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příjmení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bottom w:val="single" w:sz="4" w:space="0" w:color="000000"/>
            </w:tcBorders>
          </w:tcPr>
          <w:p w14:paraId="38546FAB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</w:tcBorders>
          </w:tcPr>
          <w:p w14:paraId="1A4CCF10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  <w:tcBorders>
              <w:top w:val="single" w:sz="18" w:space="0" w:color="000000"/>
              <w:bottom w:val="single" w:sz="4" w:space="0" w:color="000000"/>
            </w:tcBorders>
          </w:tcPr>
          <w:p w14:paraId="0FB0476C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7AF65D79" w14:textId="77777777"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CE83215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bottom w:val="single" w:sz="4" w:space="0" w:color="000000"/>
            </w:tcBorders>
          </w:tcPr>
          <w:p w14:paraId="62D62BDD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5DAE20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DEDF099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Rok maturity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14:paraId="4C33D16F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2499A635" w14:textId="77777777"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86CD61A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5E9A0E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48F987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1CD9E9AA" w14:textId="77777777">
        <w:trPr>
          <w:trHeight w:val="381"/>
        </w:trPr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58A03E4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C403FE" w14:textId="77777777" w:rsidR="00456A81" w:rsidRDefault="00456A81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53716FD1" w14:textId="77777777"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EE5CFAF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bottom w:val="single" w:sz="18" w:space="0" w:color="000000"/>
            </w:tcBorders>
          </w:tcPr>
          <w:p w14:paraId="015D5DDF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zákonného zástupce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14:paraId="75E6D9B3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8" w:space="0" w:color="000000"/>
            </w:tcBorders>
          </w:tcPr>
          <w:p w14:paraId="343A8FE1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18" w:space="0" w:color="000000"/>
            </w:tcBorders>
          </w:tcPr>
          <w:p w14:paraId="45AE86AD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6A81" w14:paraId="1FE1A365" w14:textId="77777777">
        <w:tc>
          <w:tcPr>
            <w:tcW w:w="338" w:type="dxa"/>
            <w:vMerge w:val="restart"/>
            <w:tcBorders>
              <w:top w:val="single" w:sz="18" w:space="0" w:color="000000"/>
            </w:tcBorders>
            <w:vAlign w:val="center"/>
          </w:tcPr>
          <w:p w14:paraId="41DB7E04" w14:textId="77777777" w:rsidR="00456A81" w:rsidRDefault="007238A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single" w:sz="18" w:space="0" w:color="000000"/>
            </w:tcBorders>
          </w:tcPr>
          <w:p w14:paraId="1C7E382C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</w:tcBorders>
          </w:tcPr>
          <w:p w14:paraId="313DA5DC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2510B367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  <w:tcBorders>
              <w:top w:val="single" w:sz="18" w:space="0" w:color="000000"/>
            </w:tcBorders>
          </w:tcPr>
          <w:p w14:paraId="0CBF3F07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3250C495" w14:textId="77777777"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14:paraId="2E4627D8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54734E41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</w:tcPr>
          <w:p w14:paraId="668DE3B6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659D9F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Rok maturity</w:t>
            </w:r>
          </w:p>
        </w:tc>
        <w:tc>
          <w:tcPr>
            <w:tcW w:w="1449" w:type="dxa"/>
          </w:tcPr>
          <w:p w14:paraId="115CDB2B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46867B49" w14:textId="77777777"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14:paraId="5F92584D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14:paraId="0C526974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</w:tcPr>
          <w:p w14:paraId="50A434B2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711B4589" w14:textId="77777777">
        <w:trPr>
          <w:trHeight w:val="412"/>
        </w:trPr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14:paraId="30348B91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vAlign w:val="center"/>
          </w:tcPr>
          <w:p w14:paraId="6ADB10AA" w14:textId="77777777" w:rsidR="00456A81" w:rsidRDefault="00456A81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A81" w14:paraId="013BAF87" w14:textId="77777777"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14:paraId="3E479BAB" w14:textId="77777777" w:rsidR="00456A81" w:rsidRDefault="00456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14:paraId="5C2BD58C" w14:textId="77777777" w:rsidR="00456A81" w:rsidRDefault="007238A3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Podpis zákonného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zástupce</w:t>
            </w:r>
          </w:p>
        </w:tc>
        <w:tc>
          <w:tcPr>
            <w:tcW w:w="1843" w:type="dxa"/>
          </w:tcPr>
          <w:p w14:paraId="18AC4151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5271A8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14:paraId="2CDEFA79" w14:textId="77777777" w:rsidR="00456A81" w:rsidRDefault="00456A81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9C99107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22"/>
          <w:szCs w:val="22"/>
        </w:rPr>
      </w:pPr>
    </w:p>
    <w:p w14:paraId="74CDA237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FD51A22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D585175" w14:textId="77777777" w:rsidR="00456A81" w:rsidRDefault="00456A81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456A81">
      <w:headerReference w:type="default" r:id="rId11"/>
      <w:footerReference w:type="default" r:id="rId12"/>
      <w:pgSz w:w="11906" w:h="16838"/>
      <w:pgMar w:top="1135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97C6" w14:textId="77777777" w:rsidR="00981B47" w:rsidRDefault="00981B47">
      <w:r>
        <w:separator/>
      </w:r>
    </w:p>
  </w:endnote>
  <w:endnote w:type="continuationSeparator" w:id="0">
    <w:p w14:paraId="7D99E64F" w14:textId="77777777" w:rsidR="00981B47" w:rsidRDefault="009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EA3" w14:textId="77777777" w:rsidR="00456A81" w:rsidRDefault="007238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E318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38064382" w14:textId="77777777" w:rsidR="00456A81" w:rsidRDefault="00456A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B435" w14:textId="77777777" w:rsidR="00981B47" w:rsidRDefault="00981B47">
      <w:r>
        <w:separator/>
      </w:r>
    </w:p>
  </w:footnote>
  <w:footnote w:type="continuationSeparator" w:id="0">
    <w:p w14:paraId="6F8932C9" w14:textId="77777777" w:rsidR="00981B47" w:rsidRDefault="0098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FD0C" w14:textId="77777777" w:rsidR="00456A81" w:rsidRDefault="007238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59A0126" wp14:editId="102AEDBE">
          <wp:extent cx="2770638" cy="539497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0638" cy="539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EF4AD1" wp14:editId="4C1627FD">
          <wp:simplePos x="0" y="0"/>
          <wp:positionH relativeFrom="column">
            <wp:posOffset>4772660</wp:posOffset>
          </wp:positionH>
          <wp:positionV relativeFrom="paragraph">
            <wp:posOffset>-78102</wp:posOffset>
          </wp:positionV>
          <wp:extent cx="978024" cy="64897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8024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04E8"/>
    <w:multiLevelType w:val="multilevel"/>
    <w:tmpl w:val="DEC2319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071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81"/>
    <w:rsid w:val="00456A81"/>
    <w:rsid w:val="007238A3"/>
    <w:rsid w:val="00981B47"/>
    <w:rsid w:val="00DE2CFA"/>
    <w:rsid w:val="00D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D57F"/>
  <w15:docId w15:val="{8DB17C86-1240-44D5-9A20-2DCB36F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63D"/>
  </w:style>
  <w:style w:type="paragraph" w:styleId="Nadpis1">
    <w:name w:val="heading 1"/>
    <w:basedOn w:val="Normln"/>
    <w:next w:val="Normln"/>
    <w:link w:val="Nadpis1Char"/>
    <w:uiPriority w:val="9"/>
    <w:qFormat/>
    <w:rsid w:val="001A763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A763D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rsid w:val="001A763D"/>
    <w:rPr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763D"/>
    <w:rPr>
      <w:rFonts w:eastAsiaTheme="majorEastAsia" w:cstheme="majorBidi"/>
      <w:b/>
      <w:bCs/>
      <w:kern w:val="28"/>
      <w:sz w:val="28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b/>
      <w:color w:val="000000"/>
    </w:rPr>
  </w:style>
  <w:style w:type="character" w:customStyle="1" w:styleId="PodnadpisChar">
    <w:name w:val="Podnadpis Char"/>
    <w:link w:val="Podnadpis"/>
    <w:rsid w:val="001A763D"/>
    <w:rPr>
      <w:b/>
      <w:sz w:val="24"/>
      <w:szCs w:val="24"/>
    </w:rPr>
  </w:style>
  <w:style w:type="character" w:styleId="Siln">
    <w:name w:val="Strong"/>
    <w:qFormat/>
    <w:rsid w:val="001A763D"/>
    <w:rPr>
      <w:rFonts w:ascii="Times New Roman" w:hAnsi="Times New Roman"/>
      <w:b w:val="0"/>
      <w:bCs/>
      <w:i/>
      <w:sz w:val="24"/>
    </w:rPr>
  </w:style>
  <w:style w:type="character" w:styleId="Zdraznn">
    <w:name w:val="Emphasis"/>
    <w:uiPriority w:val="20"/>
    <w:qFormat/>
    <w:rsid w:val="001A763D"/>
    <w:rPr>
      <w:rFonts w:ascii="Times New Roman" w:hAnsi="Times New Roman"/>
      <w:i/>
      <w:iCs/>
      <w:sz w:val="24"/>
    </w:rPr>
  </w:style>
  <w:style w:type="character" w:styleId="Nzevknihy">
    <w:name w:val="Book Title"/>
    <w:basedOn w:val="Standardnpsmoodstavce"/>
    <w:uiPriority w:val="33"/>
    <w:qFormat/>
    <w:rsid w:val="001A76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763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641F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E0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8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7B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B5B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B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B5B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B5B"/>
    <w:rPr>
      <w:color w:val="0000FF" w:themeColor="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.poverenec@vsch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scht.cz/uredni-deska/zpracovani-a-ochrana-osobnich-udaju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r.poverenec@vsch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ehF6Fb+H0lbvvPBBqyI0GpK1Kg==">AMUW2mUhNsd0eP4CwbUErpyMT6S8HvlbCs0XW63mWgoaV0AU7tlB5WOi/D0MZIlivRV/MaNbcjK1RDu1O0soBxyVU6UMZTu6v2hpY/POOJ9IDZ5d6GzBooY=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Heliskova Hana</dc:creator>
  <cp:lastModifiedBy>Sarah Gingerini</cp:lastModifiedBy>
  <cp:revision>3</cp:revision>
  <dcterms:created xsi:type="dcterms:W3CDTF">2024-01-17T12:32:00Z</dcterms:created>
  <dcterms:modified xsi:type="dcterms:W3CDTF">2025-01-14T11:08:00Z</dcterms:modified>
</cp:coreProperties>
</file>